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Quality of Life Scoring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Instructions: Rate your pet on the following categories from 0-100 with 100 being excellent and 0 being completely miserable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Mental Status (awareness, memory, anxiety/distress)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Activity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Appetite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Thirst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Urination, Defecation (difficulty, leakage) 50 for urination, 50 for defecation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Overall Well being (interaction with family, interest in things they typically like, mood/demeanor, hygiene)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More Good Days than Bad (over the course of a week) all good days=100 half and half =50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Pain level, see separate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Multiply pain x 2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Subtotal=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Interpretation: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&gt; 700= Excellent Quality of Life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600-699= Good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500-599= Moderate.  Recommend closely monitoring and intervention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400-499= Poor.  Intervention necessary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&lt;300     =Dismal Quality of life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